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E5" w:rsidRPr="00E20A6C" w:rsidRDefault="00E20A6C" w:rsidP="00E20A6C">
      <w:pPr>
        <w:jc w:val="center"/>
        <w:rPr>
          <w:b/>
          <w:sz w:val="28"/>
          <w:szCs w:val="28"/>
        </w:rPr>
      </w:pPr>
      <w:r w:rsidRPr="00E20A6C">
        <w:rPr>
          <w:b/>
          <w:sz w:val="28"/>
          <w:szCs w:val="28"/>
        </w:rPr>
        <w:t>PHỤ LỤC 1</w:t>
      </w:r>
    </w:p>
    <w:p w:rsidR="00E20A6C" w:rsidRDefault="00E20A6C" w:rsidP="00E20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DỰ TÍNH </w:t>
      </w:r>
      <w:r w:rsidRPr="00E20A6C">
        <w:rPr>
          <w:b/>
          <w:sz w:val="28"/>
          <w:szCs w:val="28"/>
        </w:rPr>
        <w:t xml:space="preserve">KINH PHÍ THU ĐƯỢC TỪ CÁC HỘ GIA ĐÌNH, CÁC TỔ CHỨC THAM GIA DỊCH VỤ </w:t>
      </w:r>
      <w:r>
        <w:rPr>
          <w:b/>
          <w:sz w:val="28"/>
          <w:szCs w:val="28"/>
        </w:rPr>
        <w:t>THU GOM RÁC THẢI SINH HOẠT TRÊN ĐỊA</w:t>
      </w:r>
      <w:r w:rsidRPr="00E20A6C">
        <w:rPr>
          <w:b/>
          <w:sz w:val="28"/>
          <w:szCs w:val="28"/>
        </w:rPr>
        <w:t xml:space="preserve"> BÀN HUYỆN VÂN CANH GIAI ĐOẠN 2019-2020</w:t>
      </w:r>
    </w:p>
    <w:p w:rsidR="00E20A6C" w:rsidRDefault="00E20A6C" w:rsidP="00E20A6C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23"/>
        <w:gridCol w:w="2623"/>
        <w:gridCol w:w="2623"/>
        <w:gridCol w:w="2623"/>
        <w:gridCol w:w="2623"/>
      </w:tblGrid>
      <w:tr w:rsidR="00E20A6C" w:rsidTr="00E20A6C">
        <w:tc>
          <w:tcPr>
            <w:tcW w:w="2623" w:type="dxa"/>
            <w:vAlign w:val="center"/>
          </w:tcPr>
          <w:p w:rsidR="00E20A6C" w:rsidRDefault="00E20A6C" w:rsidP="00E20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2623" w:type="dxa"/>
            <w:vAlign w:val="center"/>
          </w:tcPr>
          <w:p w:rsidR="00E20A6C" w:rsidRDefault="00E20A6C" w:rsidP="00E20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HỘ</w:t>
            </w:r>
          </w:p>
        </w:tc>
        <w:tc>
          <w:tcPr>
            <w:tcW w:w="2623" w:type="dxa"/>
            <w:vAlign w:val="center"/>
          </w:tcPr>
          <w:p w:rsidR="00E20A6C" w:rsidRDefault="00E20A6C" w:rsidP="00E20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 TÍNH</w:t>
            </w:r>
            <w:r w:rsidR="0002086B">
              <w:rPr>
                <w:b/>
                <w:sz w:val="28"/>
                <w:szCs w:val="28"/>
              </w:rPr>
              <w:t xml:space="preserve"> (đồng/hộ/tháng)</w:t>
            </w:r>
          </w:p>
        </w:tc>
        <w:tc>
          <w:tcPr>
            <w:tcW w:w="2623" w:type="dxa"/>
            <w:vAlign w:val="center"/>
          </w:tcPr>
          <w:p w:rsidR="00E20A6C" w:rsidRDefault="00E20A6C" w:rsidP="00E20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TIỀN</w:t>
            </w:r>
            <w:r w:rsidR="0002086B">
              <w:rPr>
                <w:b/>
                <w:sz w:val="28"/>
                <w:szCs w:val="28"/>
              </w:rPr>
              <w:t xml:space="preserve"> (2 x3 x24 tháng), đồng</w:t>
            </w:r>
          </w:p>
        </w:tc>
        <w:tc>
          <w:tcPr>
            <w:tcW w:w="2623" w:type="dxa"/>
            <w:vAlign w:val="center"/>
          </w:tcPr>
          <w:p w:rsidR="00E20A6C" w:rsidRDefault="00E20A6C" w:rsidP="00E20A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SỐ TIỀN THU ĐƯỢC</w:t>
            </w:r>
            <w:r w:rsidR="00CA08CE">
              <w:rPr>
                <w:b/>
                <w:sz w:val="28"/>
                <w:szCs w:val="28"/>
              </w:rPr>
              <w:t xml:space="preserve"> (đồng)</w:t>
            </w:r>
          </w:p>
        </w:tc>
      </w:tr>
      <w:tr w:rsidR="00E20A6C" w:rsidTr="008C23EC">
        <w:tc>
          <w:tcPr>
            <w:tcW w:w="13115" w:type="dxa"/>
            <w:gridSpan w:val="5"/>
          </w:tcPr>
          <w:p w:rsidR="00E20A6C" w:rsidRDefault="00E20A6C" w:rsidP="00E20A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Canh Vinh</w:t>
            </w:r>
          </w:p>
        </w:tc>
      </w:tr>
      <w:tr w:rsidR="00F76D62" w:rsidRPr="00E20A6C" w:rsidTr="00333976">
        <w:tc>
          <w:tcPr>
            <w:tcW w:w="2623" w:type="dxa"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mặt đường Quốc lộ 19C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609 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102.312.000</w:t>
            </w:r>
          </w:p>
        </w:tc>
        <w:tc>
          <w:tcPr>
            <w:tcW w:w="2623" w:type="dxa"/>
            <w:vMerge w:val="restart"/>
            <w:vAlign w:val="center"/>
          </w:tcPr>
          <w:p w:rsidR="00F76D62" w:rsidRPr="00333976" w:rsidRDefault="00333976" w:rsidP="00333976">
            <w:pPr>
              <w:jc w:val="right"/>
              <w:rPr>
                <w:b/>
                <w:sz w:val="28"/>
                <w:szCs w:val="28"/>
              </w:rPr>
            </w:pPr>
            <w:r w:rsidRPr="00333976">
              <w:rPr>
                <w:b/>
                <w:sz w:val="28"/>
                <w:szCs w:val="28"/>
              </w:rPr>
              <w:t>314.112.000</w:t>
            </w: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khu vực khác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374 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35.904.000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ăn uống tại nhà</w:t>
            </w:r>
            <w:r w:rsidR="000C69F7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27.600.000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khác tại nhà</w:t>
            </w:r>
            <w:r w:rsidR="008E0E88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44.472.000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ở chợ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54.864.000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611CD3">
        <w:tc>
          <w:tcPr>
            <w:tcW w:w="2623" w:type="dxa"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học, nhà trẻ, trụ sở làm việc của các doanh nghiệp, cơ quan hành chính sự nghiệp</w:t>
            </w:r>
          </w:p>
        </w:tc>
        <w:tc>
          <w:tcPr>
            <w:tcW w:w="2623" w:type="dxa"/>
            <w:vAlign w:val="center"/>
          </w:tcPr>
          <w:p w:rsidR="00F76D62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2623" w:type="dxa"/>
            <w:vAlign w:val="center"/>
          </w:tcPr>
          <w:p w:rsidR="00F76D62" w:rsidRPr="00E20A6C" w:rsidRDefault="00611CD3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48.960.000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1431B8">
        <w:tc>
          <w:tcPr>
            <w:tcW w:w="13115" w:type="dxa"/>
            <w:gridSpan w:val="5"/>
          </w:tcPr>
          <w:p w:rsidR="00F76D62" w:rsidRPr="00F76D62" w:rsidRDefault="00F76D62" w:rsidP="00E20A6C">
            <w:pPr>
              <w:jc w:val="both"/>
              <w:rPr>
                <w:b/>
                <w:sz w:val="28"/>
                <w:szCs w:val="28"/>
              </w:rPr>
            </w:pPr>
            <w:r w:rsidRPr="00F76D62">
              <w:rPr>
                <w:b/>
                <w:sz w:val="28"/>
                <w:szCs w:val="28"/>
              </w:rPr>
              <w:t>2. Canh Hiển</w:t>
            </w:r>
          </w:p>
        </w:tc>
      </w:tr>
      <w:tr w:rsidR="00611CD3" w:rsidRPr="00E20A6C" w:rsidTr="00611CD3">
        <w:tc>
          <w:tcPr>
            <w:tcW w:w="2623" w:type="dxa"/>
          </w:tcPr>
          <w:p w:rsidR="00611CD3" w:rsidRPr="00E20A6C" w:rsidRDefault="00611CD3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mặt đường Quốc lộ 19C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45.696.000</w:t>
            </w:r>
          </w:p>
        </w:tc>
        <w:tc>
          <w:tcPr>
            <w:tcW w:w="2623" w:type="dxa"/>
            <w:vMerge w:val="restart"/>
            <w:vAlign w:val="center"/>
          </w:tcPr>
          <w:p w:rsidR="00611CD3" w:rsidRPr="00611CD3" w:rsidRDefault="00611CD3" w:rsidP="00611CD3">
            <w:pPr>
              <w:jc w:val="right"/>
              <w:rPr>
                <w:b/>
                <w:sz w:val="28"/>
                <w:szCs w:val="28"/>
              </w:rPr>
            </w:pPr>
            <w:r w:rsidRPr="00611CD3">
              <w:rPr>
                <w:b/>
                <w:sz w:val="28"/>
                <w:szCs w:val="28"/>
              </w:rPr>
              <w:t>99.360.000</w:t>
            </w:r>
          </w:p>
        </w:tc>
      </w:tr>
      <w:tr w:rsidR="00611CD3" w:rsidRPr="00E20A6C" w:rsidTr="00611CD3">
        <w:tc>
          <w:tcPr>
            <w:tcW w:w="2623" w:type="dxa"/>
          </w:tcPr>
          <w:p w:rsidR="00611CD3" w:rsidRPr="00E20A6C" w:rsidRDefault="00611CD3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khu vực khác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17.088.000</w:t>
            </w:r>
          </w:p>
        </w:tc>
        <w:tc>
          <w:tcPr>
            <w:tcW w:w="2623" w:type="dxa"/>
            <w:vMerge/>
          </w:tcPr>
          <w:p w:rsidR="00611CD3" w:rsidRPr="00E20A6C" w:rsidRDefault="00611CD3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611CD3" w:rsidRPr="00E20A6C" w:rsidTr="00611CD3">
        <w:tc>
          <w:tcPr>
            <w:tcW w:w="2623" w:type="dxa"/>
          </w:tcPr>
          <w:p w:rsidR="00611CD3" w:rsidRPr="00E20A6C" w:rsidRDefault="00611CD3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Hộ kinh doanh ăn uống tại nhà (nhiều </w:t>
            </w:r>
            <w:r>
              <w:rPr>
                <w:sz w:val="28"/>
                <w:szCs w:val="28"/>
              </w:rPr>
              <w:lastRenderedPageBreak/>
              <w:t>chất thải)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3.864.000</w:t>
            </w:r>
          </w:p>
        </w:tc>
        <w:tc>
          <w:tcPr>
            <w:tcW w:w="2623" w:type="dxa"/>
            <w:vMerge/>
          </w:tcPr>
          <w:p w:rsidR="00611CD3" w:rsidRPr="00E20A6C" w:rsidRDefault="00611CD3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611CD3" w:rsidRPr="00E20A6C" w:rsidTr="00611CD3">
        <w:tc>
          <w:tcPr>
            <w:tcW w:w="2623" w:type="dxa"/>
          </w:tcPr>
          <w:p w:rsidR="00611CD3" w:rsidRPr="00E20A6C" w:rsidRDefault="00611CD3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Hộ kinh doanh khác tại nhà (nhiều chất thải)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17.000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9.384.000</w:t>
            </w:r>
          </w:p>
        </w:tc>
        <w:tc>
          <w:tcPr>
            <w:tcW w:w="2623" w:type="dxa"/>
            <w:vMerge/>
          </w:tcPr>
          <w:p w:rsidR="00611CD3" w:rsidRPr="00E20A6C" w:rsidRDefault="00611CD3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611CD3" w:rsidRPr="00E20A6C" w:rsidTr="00611CD3">
        <w:tc>
          <w:tcPr>
            <w:tcW w:w="2623" w:type="dxa"/>
          </w:tcPr>
          <w:p w:rsidR="00611CD3" w:rsidRPr="00E20A6C" w:rsidRDefault="00611CD3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ở chợ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10.368.000</w:t>
            </w:r>
          </w:p>
        </w:tc>
        <w:tc>
          <w:tcPr>
            <w:tcW w:w="2623" w:type="dxa"/>
            <w:vMerge/>
          </w:tcPr>
          <w:p w:rsidR="00611CD3" w:rsidRPr="00E20A6C" w:rsidRDefault="00611CD3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611CD3" w:rsidRPr="00E20A6C" w:rsidTr="00611CD3">
        <w:tc>
          <w:tcPr>
            <w:tcW w:w="2623" w:type="dxa"/>
          </w:tcPr>
          <w:p w:rsidR="00611CD3" w:rsidRPr="00E20A6C" w:rsidRDefault="00611CD3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học, nhà trẻ, trụ sở làm việc của các doanh nghiệp, cơ quan hành chính sự nghiệp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2623" w:type="dxa"/>
            <w:vAlign w:val="center"/>
          </w:tcPr>
          <w:p w:rsidR="00611CD3" w:rsidRPr="00E20A6C" w:rsidRDefault="00611CD3" w:rsidP="00611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12.960.000</w:t>
            </w:r>
          </w:p>
        </w:tc>
        <w:tc>
          <w:tcPr>
            <w:tcW w:w="2623" w:type="dxa"/>
            <w:vMerge/>
          </w:tcPr>
          <w:p w:rsidR="00611CD3" w:rsidRPr="00E20A6C" w:rsidRDefault="00611CD3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AF443F">
        <w:tc>
          <w:tcPr>
            <w:tcW w:w="13115" w:type="dxa"/>
            <w:gridSpan w:val="5"/>
          </w:tcPr>
          <w:p w:rsidR="00F76D62" w:rsidRPr="00F76D62" w:rsidRDefault="00F76D62" w:rsidP="00E20A6C">
            <w:pPr>
              <w:jc w:val="both"/>
              <w:rPr>
                <w:b/>
                <w:sz w:val="28"/>
                <w:szCs w:val="28"/>
              </w:rPr>
            </w:pPr>
            <w:r w:rsidRPr="00F76D62">
              <w:rPr>
                <w:b/>
                <w:sz w:val="28"/>
                <w:szCs w:val="28"/>
              </w:rPr>
              <w:t>3. Canh Hiệp</w:t>
            </w: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mặt đường Quốc lộ 19C</w:t>
            </w:r>
          </w:p>
        </w:tc>
        <w:tc>
          <w:tcPr>
            <w:tcW w:w="2623" w:type="dxa"/>
            <w:vAlign w:val="center"/>
          </w:tcPr>
          <w:p w:rsidR="00F76D62" w:rsidRPr="00E20A6C" w:rsidRDefault="001A0A6F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</w:t>
            </w:r>
          </w:p>
        </w:tc>
        <w:tc>
          <w:tcPr>
            <w:tcW w:w="2623" w:type="dxa"/>
            <w:vAlign w:val="center"/>
          </w:tcPr>
          <w:p w:rsidR="00F76D62" w:rsidRPr="00E20A6C" w:rsidRDefault="001A0A6F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15.456.000</w:t>
            </w:r>
          </w:p>
        </w:tc>
        <w:tc>
          <w:tcPr>
            <w:tcW w:w="2623" w:type="dxa"/>
            <w:vMerge w:val="restart"/>
            <w:vAlign w:val="center"/>
          </w:tcPr>
          <w:p w:rsidR="00F76D62" w:rsidRPr="008B2004" w:rsidRDefault="008B2004" w:rsidP="008B2004">
            <w:pPr>
              <w:jc w:val="right"/>
              <w:rPr>
                <w:b/>
                <w:sz w:val="28"/>
                <w:szCs w:val="28"/>
              </w:rPr>
            </w:pPr>
            <w:r w:rsidRPr="008B2004">
              <w:rPr>
                <w:b/>
                <w:sz w:val="28"/>
                <w:szCs w:val="28"/>
              </w:rPr>
              <w:t>102.624</w:t>
            </w:r>
            <w:r>
              <w:rPr>
                <w:b/>
                <w:sz w:val="28"/>
                <w:szCs w:val="28"/>
              </w:rPr>
              <w:t>.000</w:t>
            </w: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khu vực khác</w:t>
            </w:r>
          </w:p>
        </w:tc>
        <w:tc>
          <w:tcPr>
            <w:tcW w:w="2623" w:type="dxa"/>
            <w:vAlign w:val="center"/>
          </w:tcPr>
          <w:p w:rsidR="00F76D62" w:rsidRPr="00E20A6C" w:rsidRDefault="001A0A6F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2623" w:type="dxa"/>
            <w:vAlign w:val="center"/>
          </w:tcPr>
          <w:p w:rsidR="00F76D62" w:rsidRPr="00E20A6C" w:rsidRDefault="001A0A6F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ăn uống tại nhà</w:t>
            </w:r>
            <w:r w:rsidR="008E0E88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khác tại nhà</w:t>
            </w:r>
            <w:r w:rsidR="008E0E88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17.000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55.896.000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ở chợ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4C2C5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học, nhà trẻ, trụ sở làm việc của các doanh nghiệp, cơ quan hành chính sự nghiệp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2623" w:type="dxa"/>
            <w:vAlign w:val="center"/>
          </w:tcPr>
          <w:p w:rsidR="00F76D62" w:rsidRPr="00E20A6C" w:rsidRDefault="008B2004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11.520.000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FF3019">
        <w:tc>
          <w:tcPr>
            <w:tcW w:w="13115" w:type="dxa"/>
            <w:gridSpan w:val="5"/>
          </w:tcPr>
          <w:p w:rsidR="00F76D62" w:rsidRPr="00F76D62" w:rsidRDefault="00F76D62" w:rsidP="00E20A6C">
            <w:pPr>
              <w:jc w:val="both"/>
              <w:rPr>
                <w:b/>
                <w:sz w:val="28"/>
                <w:szCs w:val="28"/>
              </w:rPr>
            </w:pPr>
            <w:r w:rsidRPr="00F76D62">
              <w:rPr>
                <w:b/>
                <w:sz w:val="28"/>
                <w:szCs w:val="28"/>
              </w:rPr>
              <w:t>4. Thị trấn Vân Canh</w:t>
            </w:r>
          </w:p>
        </w:tc>
      </w:tr>
      <w:tr w:rsidR="00F76D62" w:rsidRPr="00CA08CE" w:rsidTr="00CA08CE">
        <w:trPr>
          <w:trHeight w:val="215"/>
        </w:trPr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mặt đường Quốc lộ 19C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2623" w:type="dxa"/>
            <w:vAlign w:val="center"/>
          </w:tcPr>
          <w:p w:rsidR="00F76D62" w:rsidRPr="00E20A6C" w:rsidRDefault="001B0F6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8.000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95.808.000</w:t>
            </w:r>
          </w:p>
        </w:tc>
        <w:tc>
          <w:tcPr>
            <w:tcW w:w="2623" w:type="dxa"/>
            <w:vMerge w:val="restart"/>
            <w:vAlign w:val="center"/>
          </w:tcPr>
          <w:p w:rsidR="00F76D62" w:rsidRPr="00CA08CE" w:rsidRDefault="00CA08CE" w:rsidP="00CA08CE">
            <w:pPr>
              <w:jc w:val="right"/>
              <w:rPr>
                <w:b/>
                <w:sz w:val="28"/>
                <w:szCs w:val="28"/>
              </w:rPr>
            </w:pPr>
            <w:r w:rsidRPr="00CA08CE">
              <w:rPr>
                <w:b/>
                <w:sz w:val="28"/>
                <w:szCs w:val="28"/>
              </w:rPr>
              <w:t>222.696.000</w:t>
            </w:r>
          </w:p>
        </w:tc>
      </w:tr>
      <w:tr w:rsidR="00F76D62" w:rsidRPr="00CA08CE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Hộ có nhà ở khu vực khác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16.272.000</w:t>
            </w:r>
          </w:p>
        </w:tc>
        <w:tc>
          <w:tcPr>
            <w:tcW w:w="2623" w:type="dxa"/>
            <w:vMerge/>
          </w:tcPr>
          <w:p w:rsidR="00F76D62" w:rsidRPr="00CA08CE" w:rsidRDefault="00F76D62" w:rsidP="00E20A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ăn uống tại nhà</w:t>
            </w:r>
            <w:r w:rsidR="004C2C50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</w:t>
            </w:r>
          </w:p>
        </w:tc>
        <w:tc>
          <w:tcPr>
            <w:tcW w:w="2623" w:type="dxa"/>
            <w:vAlign w:val="center"/>
          </w:tcPr>
          <w:p w:rsidR="00F76D62" w:rsidRPr="00E20A6C" w:rsidRDefault="00712018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28.704.000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khác tại nhà</w:t>
            </w:r>
            <w:r w:rsidR="004C2C50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683DA9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23" w:type="dxa"/>
            <w:vAlign w:val="center"/>
          </w:tcPr>
          <w:p w:rsidR="00F76D62" w:rsidRPr="00E20A6C" w:rsidRDefault="00683DA9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17.000</w:t>
            </w:r>
          </w:p>
        </w:tc>
        <w:tc>
          <w:tcPr>
            <w:tcW w:w="2623" w:type="dxa"/>
            <w:vAlign w:val="center"/>
          </w:tcPr>
          <w:p w:rsidR="00F76D62" w:rsidRPr="00E20A6C" w:rsidRDefault="00683DA9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24.888.000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ở chợ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18.144.000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học, nhà trẻ, trụ sở làm việc của các doanh nghiệp, cơ quan hành chính sự nghiệp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38.880.000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2D224D">
        <w:tc>
          <w:tcPr>
            <w:tcW w:w="13115" w:type="dxa"/>
            <w:gridSpan w:val="5"/>
          </w:tcPr>
          <w:p w:rsidR="00F76D62" w:rsidRPr="00F76D62" w:rsidRDefault="00F76D62" w:rsidP="00E20A6C">
            <w:pPr>
              <w:jc w:val="both"/>
              <w:rPr>
                <w:b/>
                <w:sz w:val="28"/>
                <w:szCs w:val="28"/>
              </w:rPr>
            </w:pPr>
            <w:r w:rsidRPr="00F76D62">
              <w:rPr>
                <w:b/>
                <w:sz w:val="28"/>
                <w:szCs w:val="28"/>
              </w:rPr>
              <w:t>5 Canh Thuận</w:t>
            </w:r>
          </w:p>
        </w:tc>
      </w:tr>
      <w:tr w:rsidR="00F76D62" w:rsidRPr="00E20A6C" w:rsidTr="00E1026B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mặt đường Quốc lộ 19C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13.440.000</w:t>
            </w:r>
          </w:p>
        </w:tc>
        <w:tc>
          <w:tcPr>
            <w:tcW w:w="2623" w:type="dxa"/>
            <w:vMerge w:val="restart"/>
            <w:vAlign w:val="center"/>
          </w:tcPr>
          <w:p w:rsidR="00F76D62" w:rsidRPr="00E1026B" w:rsidRDefault="00E1026B" w:rsidP="00E1026B">
            <w:pPr>
              <w:jc w:val="right"/>
              <w:rPr>
                <w:b/>
                <w:sz w:val="28"/>
                <w:szCs w:val="28"/>
              </w:rPr>
            </w:pPr>
            <w:r w:rsidRPr="00E1026B">
              <w:rPr>
                <w:b/>
                <w:sz w:val="28"/>
                <w:szCs w:val="28"/>
              </w:rPr>
              <w:t>104.784.000</w:t>
            </w: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khu vực khác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2623" w:type="dxa"/>
            <w:vAlign w:val="center"/>
          </w:tcPr>
          <w:p w:rsidR="00F76D62" w:rsidRPr="00E20A6C" w:rsidRDefault="000C21A6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57.600.000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ăn uống tại nhà</w:t>
            </w:r>
            <w:r w:rsidR="000C69F7">
              <w:rPr>
                <w:sz w:val="28"/>
                <w:szCs w:val="28"/>
              </w:rPr>
              <w:t xml:space="preserve"> (ít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76D62">
              <w:rPr>
                <w:sz w:val="28"/>
                <w:szCs w:val="28"/>
              </w:rPr>
              <w:t>.000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khác tại nhà</w:t>
            </w:r>
            <w:r w:rsidR="000C69F7">
              <w:rPr>
                <w:sz w:val="28"/>
                <w:szCs w:val="28"/>
              </w:rPr>
              <w:t xml:space="preserve"> (chất thải bình thường)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69F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.000</w:t>
            </w:r>
          </w:p>
        </w:tc>
        <w:tc>
          <w:tcPr>
            <w:tcW w:w="2623" w:type="dxa"/>
            <w:vAlign w:val="center"/>
          </w:tcPr>
          <w:p w:rsidR="00F76D62" w:rsidRPr="00E20A6C" w:rsidRDefault="004C2C50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22.848.000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ở chợ</w:t>
            </w:r>
          </w:p>
        </w:tc>
        <w:tc>
          <w:tcPr>
            <w:tcW w:w="2623" w:type="dxa"/>
            <w:vAlign w:val="center"/>
          </w:tcPr>
          <w:p w:rsidR="00F76D62" w:rsidRPr="00E20A6C" w:rsidRDefault="000C69F7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</w:t>
            </w:r>
          </w:p>
        </w:tc>
        <w:tc>
          <w:tcPr>
            <w:tcW w:w="2623" w:type="dxa"/>
            <w:vAlign w:val="center"/>
          </w:tcPr>
          <w:p w:rsidR="00F76D62" w:rsidRPr="00E20A6C" w:rsidRDefault="004C2C50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3068E0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Trường học, nhà trẻ, trụ sở làm việc của các doanh nghiệp, cơ quan hành chính sự </w:t>
            </w:r>
            <w:r>
              <w:rPr>
                <w:sz w:val="28"/>
                <w:szCs w:val="28"/>
              </w:rPr>
              <w:lastRenderedPageBreak/>
              <w:t>nghiệp</w:t>
            </w:r>
          </w:p>
        </w:tc>
        <w:tc>
          <w:tcPr>
            <w:tcW w:w="2623" w:type="dxa"/>
            <w:vAlign w:val="center"/>
          </w:tcPr>
          <w:p w:rsidR="00F76D62" w:rsidRPr="00E20A6C" w:rsidRDefault="004C2C50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3068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2623" w:type="dxa"/>
            <w:vAlign w:val="center"/>
          </w:tcPr>
          <w:p w:rsidR="00F76D62" w:rsidRPr="00E20A6C" w:rsidRDefault="004C2C50" w:rsidP="004C2C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F8490E">
        <w:tc>
          <w:tcPr>
            <w:tcW w:w="13115" w:type="dxa"/>
            <w:gridSpan w:val="5"/>
          </w:tcPr>
          <w:p w:rsidR="00F76D62" w:rsidRPr="00F76D62" w:rsidRDefault="00F76D62" w:rsidP="00E20A6C">
            <w:pPr>
              <w:jc w:val="both"/>
              <w:rPr>
                <w:b/>
                <w:sz w:val="28"/>
                <w:szCs w:val="28"/>
              </w:rPr>
            </w:pPr>
            <w:r w:rsidRPr="00F76D62">
              <w:rPr>
                <w:b/>
                <w:sz w:val="28"/>
                <w:szCs w:val="28"/>
              </w:rPr>
              <w:lastRenderedPageBreak/>
              <w:t>6. Canh Hòa</w:t>
            </w:r>
          </w:p>
        </w:tc>
      </w:tr>
      <w:tr w:rsidR="00F76D62" w:rsidRPr="00E20A6C" w:rsidTr="007405DC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mặt đường Quốc lộ 19C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7.000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3.360.000</w:t>
            </w:r>
          </w:p>
        </w:tc>
        <w:tc>
          <w:tcPr>
            <w:tcW w:w="2623" w:type="dxa"/>
            <w:vMerge w:val="restart"/>
            <w:vAlign w:val="center"/>
          </w:tcPr>
          <w:p w:rsidR="00F76D62" w:rsidRPr="00E1026B" w:rsidRDefault="007405DC" w:rsidP="007405DC">
            <w:pPr>
              <w:jc w:val="right"/>
              <w:rPr>
                <w:b/>
                <w:sz w:val="28"/>
                <w:szCs w:val="28"/>
              </w:rPr>
            </w:pPr>
            <w:r w:rsidRPr="00E1026B">
              <w:rPr>
                <w:b/>
                <w:sz w:val="28"/>
                <w:szCs w:val="28"/>
              </w:rPr>
              <w:t>21.576.000</w:t>
            </w:r>
          </w:p>
        </w:tc>
      </w:tr>
      <w:tr w:rsidR="00F76D62" w:rsidRPr="00E20A6C" w:rsidTr="007405DC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có nhà ở khu vực khác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1.248.000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7405DC">
        <w:tc>
          <w:tcPr>
            <w:tcW w:w="2623" w:type="dxa"/>
          </w:tcPr>
          <w:p w:rsidR="00F76D62" w:rsidRPr="00E20A6C" w:rsidRDefault="00F76D62" w:rsidP="00740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ăn uống tại nhà</w:t>
            </w:r>
            <w:r w:rsidR="007405DC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2.208.000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7405DC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khác tại nhà</w:t>
            </w:r>
            <w:r w:rsidR="007405DC">
              <w:rPr>
                <w:sz w:val="28"/>
                <w:szCs w:val="28"/>
              </w:rPr>
              <w:t xml:space="preserve"> (nhiều chất thải)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17.000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7405DC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 kinh doanh ở chợ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9.000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F76D62" w:rsidRPr="00E20A6C" w:rsidTr="007405DC">
        <w:tc>
          <w:tcPr>
            <w:tcW w:w="2623" w:type="dxa"/>
          </w:tcPr>
          <w:p w:rsidR="00F76D62" w:rsidRPr="00E20A6C" w:rsidRDefault="00F76D62" w:rsidP="00BF7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học, nhà trẻ, trụ sở làm việc của các doanh nghiệp, cơ quan hành chính sự nghiệp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3" w:type="dxa"/>
            <w:vAlign w:val="center"/>
          </w:tcPr>
          <w:p w:rsidR="00F76D62" w:rsidRPr="00E20A6C" w:rsidRDefault="00F76D62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60.000</w:t>
            </w:r>
          </w:p>
        </w:tc>
        <w:tc>
          <w:tcPr>
            <w:tcW w:w="2623" w:type="dxa"/>
            <w:vAlign w:val="center"/>
          </w:tcPr>
          <w:p w:rsidR="00F76D62" w:rsidRPr="00E20A6C" w:rsidRDefault="007405DC" w:rsidP="007405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8.640.000</w:t>
            </w:r>
          </w:p>
        </w:tc>
        <w:tc>
          <w:tcPr>
            <w:tcW w:w="2623" w:type="dxa"/>
            <w:vMerge/>
          </w:tcPr>
          <w:p w:rsidR="00F76D62" w:rsidRPr="00E20A6C" w:rsidRDefault="00F76D62" w:rsidP="00E20A6C">
            <w:pPr>
              <w:jc w:val="both"/>
              <w:rPr>
                <w:sz w:val="28"/>
                <w:szCs w:val="28"/>
              </w:rPr>
            </w:pPr>
          </w:p>
        </w:tc>
      </w:tr>
      <w:tr w:rsidR="00333976" w:rsidRPr="00E20A6C" w:rsidTr="00333976">
        <w:trPr>
          <w:trHeight w:val="921"/>
        </w:trPr>
        <w:tc>
          <w:tcPr>
            <w:tcW w:w="10492" w:type="dxa"/>
            <w:gridSpan w:val="4"/>
            <w:vAlign w:val="center"/>
          </w:tcPr>
          <w:p w:rsidR="00333976" w:rsidRPr="00333976" w:rsidRDefault="00333976" w:rsidP="00333976">
            <w:pPr>
              <w:rPr>
                <w:b/>
                <w:sz w:val="28"/>
                <w:szCs w:val="28"/>
              </w:rPr>
            </w:pPr>
            <w:r w:rsidRPr="00333976">
              <w:rPr>
                <w:b/>
                <w:sz w:val="28"/>
                <w:szCs w:val="28"/>
              </w:rPr>
              <w:t xml:space="preserve">Tổng số tiền </w:t>
            </w:r>
            <w:r>
              <w:rPr>
                <w:b/>
                <w:sz w:val="28"/>
                <w:szCs w:val="28"/>
              </w:rPr>
              <w:t xml:space="preserve">dự tính </w:t>
            </w:r>
            <w:r w:rsidRPr="00333976">
              <w:rPr>
                <w:b/>
                <w:sz w:val="28"/>
                <w:szCs w:val="28"/>
              </w:rPr>
              <w:t>thu được từ dịch vụ thu gom rác thải sinh hoạt giai đoạn 2019-2020</w:t>
            </w:r>
          </w:p>
        </w:tc>
        <w:tc>
          <w:tcPr>
            <w:tcW w:w="2623" w:type="dxa"/>
          </w:tcPr>
          <w:p w:rsidR="00333976" w:rsidRPr="00333976" w:rsidRDefault="00333976" w:rsidP="00333976">
            <w:pPr>
              <w:jc w:val="right"/>
              <w:rPr>
                <w:b/>
                <w:sz w:val="28"/>
                <w:szCs w:val="28"/>
              </w:rPr>
            </w:pPr>
            <w:r w:rsidRPr="00333976">
              <w:rPr>
                <w:b/>
                <w:sz w:val="28"/>
                <w:szCs w:val="28"/>
              </w:rPr>
              <w:t>865.152.000</w:t>
            </w:r>
          </w:p>
        </w:tc>
      </w:tr>
    </w:tbl>
    <w:p w:rsidR="00E20A6C" w:rsidRPr="00E20A6C" w:rsidRDefault="00E20A6C" w:rsidP="00E20A6C">
      <w:pPr>
        <w:jc w:val="both"/>
        <w:rPr>
          <w:sz w:val="28"/>
          <w:szCs w:val="28"/>
        </w:rPr>
      </w:pPr>
    </w:p>
    <w:sectPr w:rsidR="00E20A6C" w:rsidRPr="00E20A6C" w:rsidSect="00896D7C">
      <w:pgSz w:w="15840" w:h="12240" w:orient="landscape"/>
      <w:pgMar w:top="1276" w:right="1098" w:bottom="1134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896D7C"/>
    <w:rsid w:val="0002086B"/>
    <w:rsid w:val="000C21A6"/>
    <w:rsid w:val="000C69F7"/>
    <w:rsid w:val="001A0A6F"/>
    <w:rsid w:val="001A7814"/>
    <w:rsid w:val="001B0F67"/>
    <w:rsid w:val="003068E0"/>
    <w:rsid w:val="00324DE5"/>
    <w:rsid w:val="00333976"/>
    <w:rsid w:val="00463B84"/>
    <w:rsid w:val="004C2C50"/>
    <w:rsid w:val="00611CD3"/>
    <w:rsid w:val="00683DA9"/>
    <w:rsid w:val="00703DFC"/>
    <w:rsid w:val="00712018"/>
    <w:rsid w:val="007405DC"/>
    <w:rsid w:val="007B0476"/>
    <w:rsid w:val="00876B2D"/>
    <w:rsid w:val="00896D7C"/>
    <w:rsid w:val="008B2004"/>
    <w:rsid w:val="008E0E88"/>
    <w:rsid w:val="00BE46B0"/>
    <w:rsid w:val="00C53208"/>
    <w:rsid w:val="00CA08CE"/>
    <w:rsid w:val="00E0527E"/>
    <w:rsid w:val="00E1026B"/>
    <w:rsid w:val="00E20A6C"/>
    <w:rsid w:val="00F66F60"/>
    <w:rsid w:val="00F76D62"/>
    <w:rsid w:val="00FD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0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14</cp:revision>
  <dcterms:created xsi:type="dcterms:W3CDTF">2019-07-15T03:26:00Z</dcterms:created>
  <dcterms:modified xsi:type="dcterms:W3CDTF">2019-07-18T01:09:00Z</dcterms:modified>
</cp:coreProperties>
</file>